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bookmarkStart w:colFirst="0" w:colLast="0" w:name="_heading=h.scl8ahthaza3" w:id="0"/>
      <w:bookmarkEnd w:id="0"/>
      <w:r w:rsidDel="00000000" w:rsidR="00000000" w:rsidRPr="00000000">
        <w:rPr>
          <w:rFonts w:ascii="Arial" w:cs="Arial" w:eastAsia="Arial" w:hAnsi="Arial"/>
          <w:color w:val="1b1c1d"/>
          <w:sz w:val="32"/>
          <w:szCs w:val="32"/>
        </w:rPr>
        <w:drawing>
          <wp:inline distB="114300" distT="114300" distL="114300" distR="114300">
            <wp:extent cx="2300288" cy="825744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0288" cy="8257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EXAMPLE Safeguarding Risk Assessment - One-to-one Training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document is an example safeguarding-focused risk assessment for a one-to-one training situation in a craft trainer’s workshop. It is intended to help trainers and businesses understand the kinds of issues and controls they should consider when preparing their own safeguarding risk assessment.</w:t>
        <w:br w:type="textWrapping"/>
        <w:br w:type="textWrapping"/>
        <w:t xml:space="preserve">It should not be copied directly but used as a guiding example of good practice in line with Heritage Crafts’ Safeguarding Policy and wider UK safeguarding legislation and guidance.</w:t>
        <w:br w:type="textWrapping"/>
        <w:br w:type="textWrapping"/>
        <w:t xml:space="preserve">It complements, but does not replace, a general Health &amp; Safety Risk Assessment, which should cover physical risks such as tools, machinery and fire safety.</w:t>
      </w:r>
    </w:p>
    <w:p w:rsidR="00000000" w:rsidDel="00000000" w:rsidP="00000000" w:rsidRDefault="00000000" w:rsidRPr="00000000" w14:paraId="00000004">
      <w:pPr>
        <w:pStyle w:val="Heading2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1. Overview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This assessment considers safeguarding risks in a one-to-one training context between a craft trainer and trainee. It focuses on maintaining professional boundaries, ensuring transparency, and minimising opportunities for harm or misunderstanding.</w:t>
      </w:r>
    </w:p>
    <w:p w:rsidR="00000000" w:rsidDel="00000000" w:rsidP="00000000" w:rsidRDefault="00000000" w:rsidRPr="00000000" w14:paraId="00000006">
      <w:pPr>
        <w:pStyle w:val="Heading2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2. Training Context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Setting:</w:t>
      </w:r>
      <w:r w:rsidDel="00000000" w:rsidR="00000000" w:rsidRPr="00000000">
        <w:rPr>
          <w:rtl w:val="0"/>
        </w:rPr>
        <w:t xml:space="preserve"> Trainer’s private or semi-private professional workshop.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Training type:</w:t>
      </w:r>
      <w:r w:rsidDel="00000000" w:rsidR="00000000" w:rsidRPr="00000000">
        <w:rPr>
          <w:rtl w:val="0"/>
        </w:rPr>
        <w:t xml:space="preserve"> One-to-one hand skills tuition (e.g., woodcarving, bookbinding, textiles, metalwork).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Duration:</w:t>
      </w:r>
      <w:r w:rsidDel="00000000" w:rsidR="00000000" w:rsidRPr="00000000">
        <w:rPr>
          <w:rtl w:val="0"/>
        </w:rPr>
        <w:t xml:space="preserve"> Regular short sessions over several weeks.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Trainee:</w:t>
      </w:r>
      <w:r w:rsidDel="00000000" w:rsidR="00000000" w:rsidRPr="00000000">
        <w:rPr>
          <w:rtl w:val="0"/>
        </w:rPr>
        <w:t xml:space="preserve"> Adult, under 18, or person at risk.</w:t>
      </w:r>
    </w:p>
    <w:p w:rsidR="00000000" w:rsidDel="00000000" w:rsidP="00000000" w:rsidRDefault="00000000" w:rsidRPr="00000000" w14:paraId="00000008">
      <w:pPr>
        <w:pStyle w:val="Heading2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3. Safeguarding Risk Identification &amp; Control Measures </w:t>
      </w:r>
    </w:p>
    <w:p w:rsidR="00000000" w:rsidDel="00000000" w:rsidP="00000000" w:rsidRDefault="00000000" w:rsidRPr="00000000" w14:paraId="00000009">
      <w:pPr>
        <w:rPr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Safeguarding Risk Assessment Table – One-to-one Training Example</w:t>
      </w:r>
    </w:p>
    <w:tbl>
      <w:tblPr>
        <w:tblStyle w:val="Table1"/>
        <w:tblW w:w="12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2977"/>
        <w:gridCol w:w="5670"/>
        <w:gridCol w:w="1756"/>
        <w:tblGridChange w:id="0">
          <w:tblGrid>
            <w:gridCol w:w="2547"/>
            <w:gridCol w:w="2977"/>
            <w:gridCol w:w="5670"/>
            <w:gridCol w:w="1756"/>
          </w:tblGrid>
        </w:tblGridChange>
      </w:tblGrid>
      <w:tr>
        <w:trPr>
          <w:cantSplit w:val="0"/>
          <w:tblHeader w:val="0"/>
        </w:trPr>
        <w:tc>
          <w:tcPr>
            <w:shd w:fill="9cc3e5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Risk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Potential 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Control Measures / Mitigation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Residual Risk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Lone working / one-to-one situations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Isolation increases risk of inappropriate behaviour or allegations.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• Schedule sessions when others are nearby if possible.</w:t>
              <w:br w:type="textWrapping"/>
              <w:t xml:space="preserve">• Keep doors open or ensure visibility.</w:t>
              <w:br w:type="textWrapping"/>
              <w:t xml:space="preserve">• Inform a third party of session times.</w:t>
              <w:br w:type="textWrapping"/>
              <w:t xml:space="preserve">• Avoid lone sessions with under 18s/adult at risk where possible. Consider a </w:t>
            </w:r>
            <w:r w:rsidDel="00000000" w:rsidR="00000000" w:rsidRPr="00000000">
              <w:rPr>
                <w:rtl w:val="0"/>
              </w:rPr>
              <w:t xml:space="preserve">chaperone for adults at risk and those under 18.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Professional boundaries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Over-familiarity or inappropriate contact/communication.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• Keep communication professional and training-focused.</w:t>
              <w:br w:type="textWrapping"/>
              <w:t xml:space="preserve">• Avoid unnecessary physical contact.</w:t>
              <w:br w:type="textWrapping"/>
              <w:t xml:space="preserve">• Maintain professional tone and boundaries.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Training in private space (home workshop)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Blurring private/professional boundaries, reduced oversight.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• Separate professional workshop from private living space.</w:t>
              <w:br w:type="textWrapping"/>
              <w:t xml:space="preserve">• Avoid domestic rooms for training.</w:t>
              <w:br w:type="textWrapping"/>
              <w:t xml:space="preserve">• Keep professional signage and environment.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Trainee vulnerability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Trainees may disclose abuse or personal issues.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• Listen calmly and non-judgmentally.</w:t>
              <w:br w:type="textWrapping"/>
              <w:t xml:space="preserve">• Do not promise confidentiality.</w:t>
              <w:br w:type="textWrapping"/>
              <w:t xml:space="preserve">• Record and report immediately.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Medium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Inappropriate communication channels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Private or social media messaging may be misinterpreted.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• Use professional email or agreed communication channels.</w:t>
              <w:br w:type="textWrapping"/>
              <w:t xml:space="preserve">• Avoid private messaging.</w:t>
              <w:br w:type="textWrapping"/>
              <w:t xml:space="preserve">• Copy in parent/organisation if trainee is under 18 or at risk.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Medium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Lack of clarity on procedures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Trainer unsure how to respond to a concern.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• Report concerns immediately.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Insurance and legal compliance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Lack of insurance or DBS check.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• Maintain valid public liability insurance.</w:t>
              <w:br w:type="textWrapping"/>
              <w:t xml:space="preserve">• Hold Enhanced DBS check if required.</w:t>
              <w:br w:type="textWrapping"/>
              <w:t xml:space="preserve">• Keep documents up to date.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Emergency access and reporting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No clear procedure for incidents or emergencies.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• Keep a phone accessible.</w:t>
              <w:br w:type="textWrapping"/>
              <w:t xml:space="preserve">• Display emergency contacts.</w:t>
              <w:br w:type="textWrapping"/>
              <w:t xml:space="preserve">• Record and report incidents promptly.</w:t>
            </w:r>
          </w:p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• Be aware of how to report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Low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4. Additional Safeguarding Considerations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• Ensure trainees (and parents/guardians or carers) understand the training location, timing and safeguarding expectations.</w:t>
        <w:br w:type="textWrapping"/>
        <w:t xml:space="preserve">• Obtain written consent before taking or sharing images.</w:t>
        <w:br w:type="textWrapping"/>
        <w:t xml:space="preserve">• Make reasonable adjustments for trainees with additional needs (Equality Act 2010).</w:t>
        <w:br w:type="textWrapping"/>
        <w:t xml:space="preserve">• Avoid providing lifts or transport unless pre-agreed and transparent.</w:t>
      </w:r>
    </w:p>
    <w:p w:rsidR="00000000" w:rsidDel="00000000" w:rsidP="00000000" w:rsidRDefault="00000000" w:rsidRPr="00000000" w14:paraId="00000033">
      <w:pPr>
        <w:pStyle w:val="Heading2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5. Key Safeguarding Contacts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Police (Emergency): 999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Police (Non-Emergency): 101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NSPCC Helpline (Children): 0808 800 5000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This example risk assessment is intended to demonstrate good safeguarding practice in one-to-one training environments. Each trainer or business should adapt it to reflect their specific context, trainees, and workspace.</w:t>
      </w:r>
    </w:p>
    <w:sectPr>
      <w:headerReference r:id="rId8" w:type="default"/>
      <w:pgSz w:h="12240" w:w="15840" w:orient="landscape"/>
      <w:pgMar w:bottom="1800" w:top="180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/>
      <w:pict>
        <v:shape id="PowerPlusWaterMarkObject1" style="position:absolute;width:476.0223754290582pt;height:134.9178835161189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SAMPLE" style="font-family:&amp;quot;Arial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2e75b5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="259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966C6"/>
    <w:rPr>
      <w:rFonts w:asciiTheme="majorHAnsi" w:cstheme="majorBidi" w:eastAsiaTheme="majorEastAsia" w:hAnsiTheme="majorHAnsi"/>
      <w:b w:val="1"/>
      <w:bCs w:val="1"/>
      <w:color w:val="2e74b5" w:themeColor="accent1" w:themeShade="0000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966C6"/>
    <w:pPr>
      <w:spacing w:after="0" w:line="240" w:lineRule="auto"/>
    </w:pPr>
    <w:rPr>
      <w:rFonts w:ascii="Segoe UI" w:cs="Segoe UI" w:hAnsi="Segoe UI" w:eastAsiaTheme="minorHAnsi"/>
      <w:sz w:val="18"/>
      <w:szCs w:val="18"/>
      <w:lang w:val="en-GB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966C6"/>
    <w:rPr>
      <w:rFonts w:ascii="Segoe UI" w:cs="Segoe UI" w:hAnsi="Segoe UI"/>
      <w:sz w:val="18"/>
      <w:szCs w:val="18"/>
    </w:rPr>
  </w:style>
  <w:style w:type="character" w:styleId="Heading2Char" w:customStyle="1">
    <w:name w:val="Heading 2 Char"/>
    <w:basedOn w:val="DefaultParagraphFont"/>
    <w:link w:val="Heading2"/>
    <w:uiPriority w:val="9"/>
    <w:rsid w:val="00A966C6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paragraph" w:styleId="ListParagraph">
    <w:name w:val="List Paragraph"/>
    <w:basedOn w:val="Normal"/>
    <w:uiPriority w:val="34"/>
    <w:qFormat w:val="1"/>
    <w:rsid w:val="00BE47CD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64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D64D8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D64D8C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64D8C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64D8C"/>
    <w:rPr>
      <w:rFonts w:eastAsiaTheme="minorEastAsia"/>
      <w:b w:val="1"/>
      <w:bCs w:val="1"/>
      <w:sz w:val="20"/>
      <w:szCs w:val="20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zXgTAlA8SePhdhfNA+uXw5aHUA==">CgMxLjAyDmguc2NsOGFodGhhemEzOAByITEyUjBRX2lvM3RYd2JEeXVmUHV0NGpFa0VNSWZLNVlOSA==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2025-10-14T14:14:00Z</dcterms:created>
  <dc:creator>Microsoft account</dc:creator>
</cp:coreProperties>
</file>